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4B4A6D" w:rsidP="00B76355">
      <w:pPr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1. </w:t>
      </w:r>
      <w:r w:rsidR="006B3665"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="006B3665"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="006B3665" w:rsidRPr="00B76355">
        <w:t xml:space="preserve"> </w:t>
      </w:r>
      <w:r w:rsidR="006B3665"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4B4A6D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sz w:val="30"/>
          <w:szCs w:val="30"/>
        </w:rPr>
        <w:t xml:space="preserve">СЛ. № 2. </w:t>
      </w:r>
      <w:r w:rsidR="0035683C"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630D33">
      <w:pPr>
        <w:spacing w:after="120" w:line="280" w:lineRule="exact"/>
        <w:ind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630D33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И МЕХАНИЗМЫ ЕЕ СОВЕРШЕНСТВОВАНИЯ</w:t>
      </w:r>
    </w:p>
    <w:p w:rsidR="0035683C" w:rsidRPr="00B76355" w:rsidRDefault="004D6A7A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3. </w:t>
      </w:r>
      <w:r w:rsidR="008C04E5"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EE60AE" w:rsidP="007D0492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6808AC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СЛ. № 4. </w:t>
      </w:r>
      <w:r w:rsidR="00EE60AE" w:rsidRPr="00B76355">
        <w:rPr>
          <w:b/>
          <w:bCs/>
          <w:i/>
          <w:iCs/>
          <w:sz w:val="28"/>
          <w:szCs w:val="28"/>
        </w:rPr>
        <w:t>Справочно:</w:t>
      </w:r>
    </w:p>
    <w:p w:rsidR="00532A76" w:rsidRPr="00A20E43" w:rsidRDefault="00532A76" w:rsidP="00C1328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На обслуживании у </w:t>
      </w:r>
      <w:r w:rsidR="00A20E43">
        <w:rPr>
          <w:i/>
          <w:sz w:val="30"/>
          <w:szCs w:val="30"/>
        </w:rPr>
        <w:t xml:space="preserve">жилищно-коммунального хозяйства </w:t>
      </w:r>
      <w:r w:rsidR="00A20E43" w:rsidRPr="00804438">
        <w:rPr>
          <w:b/>
          <w:i/>
          <w:sz w:val="30"/>
          <w:szCs w:val="30"/>
        </w:rPr>
        <w:t xml:space="preserve">Витебской </w:t>
      </w:r>
      <w:r w:rsidRPr="00804438">
        <w:rPr>
          <w:b/>
          <w:i/>
          <w:sz w:val="30"/>
          <w:szCs w:val="30"/>
        </w:rPr>
        <w:t>области</w:t>
      </w:r>
      <w:r w:rsidRPr="00A20E43">
        <w:rPr>
          <w:i/>
          <w:sz w:val="30"/>
          <w:szCs w:val="30"/>
        </w:rPr>
        <w:t xml:space="preserve"> находится порядка 16 млн. кв. м. жилищного фонда. По итогам работы за январь-сентябрь текущего года в Витебской области введено после капитального ремонта 338,9 тыс. кв.м общей площади жилых помещений, что составляет 68,1 процентов от плана на 2022 год.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8217AF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5. </w:t>
      </w:r>
      <w:r w:rsidR="00D867AB"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C13288">
      <w:pPr>
        <w:widowControl w:val="0"/>
        <w:spacing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lastRenderedPageBreak/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0538D9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6.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lastRenderedPageBreak/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0538D9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7. </w:t>
      </w:r>
      <w:r w:rsidR="006F6845"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Обеспеченность потребителей Витебской области качественной питьевой водой в 2021 году составила 97,5 процента, в 2022 году ожидается на уровне 98,9 процента или 100 процентов к заданию.     </w:t>
      </w:r>
    </w:p>
    <w:p w:rsidR="00A20E43" w:rsidRPr="00A20E43" w:rsidRDefault="00A20E4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>По состоянию на 1 октября 2022 г. в Витебской области введено в эксплуатацию 6 станций обезжелезивания (21,4 процента к годовому заданию), освоение средств областного бюджета составило 804,0 тыс. рублей или 100 процентов от плана финансирования на 9 месяцев 2022 г.,  республиканского бюджета – 3221,4 тыс. рублей или 100 процентов</w:t>
      </w:r>
      <w:r>
        <w:rPr>
          <w:i/>
          <w:sz w:val="30"/>
          <w:szCs w:val="30"/>
        </w:rPr>
        <w:t xml:space="preserve"> от плана (</w:t>
      </w:r>
      <w:r w:rsidR="00630D33">
        <w:rPr>
          <w:i/>
          <w:sz w:val="30"/>
          <w:szCs w:val="30"/>
        </w:rPr>
        <w:t>в</w:t>
      </w:r>
      <w:r w:rsidRPr="00A20E43">
        <w:rPr>
          <w:i/>
          <w:sz w:val="30"/>
          <w:szCs w:val="30"/>
        </w:rPr>
        <w:t>ведены в эксплуатацию станции обезжелезивания в следующих населенных пунктах области: н.п.Голубичи Глубокского района, н.п.Калиново, н.п.Пестуница, н.п.Задубровье Витебского района, н.п.Вышедки Городокского района и н.п.Бельковщина Верхнедвинского района</w:t>
      </w:r>
      <w:r>
        <w:rPr>
          <w:i/>
          <w:sz w:val="30"/>
          <w:szCs w:val="30"/>
        </w:rPr>
        <w:t>)</w:t>
      </w:r>
      <w:r w:rsidRPr="00A20E43">
        <w:rPr>
          <w:i/>
          <w:sz w:val="30"/>
          <w:szCs w:val="30"/>
        </w:rPr>
        <w:t>.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Также в областном бюджете предусмотрено 0,4 млн. рублей на подключение 2-х населенных пунктов к централизованным сетям водоснабжения с водой нормативного качества. В сентябре 2022 г. завершено строительство сетей водоснабжения в н.п.Старый Лепель Лепельского района, продолжаются работы по строительству сетей водоснабжения в н.п.Большой Полсвиж Лепельского района (объект готов на 95 процентов). 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>За счет собственных средств УП ”Витебскоблводоканал“ завершены работы по строительству артезианских скважин на водозаборе г.Глубокое (введен в эксплуатацию),  н.п.Парафьяново и Северное Гнездилово Докшицкого района, н.п.Непороты Шумилинского района, н.п.Добрыно Дубровенского района.</w:t>
      </w:r>
    </w:p>
    <w:p w:rsidR="00A20E43" w:rsidRPr="00A20E43" w:rsidRDefault="00A1109C" w:rsidP="00C13288">
      <w:pPr>
        <w:pStyle w:val="ab"/>
        <w:spacing w:after="0"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8. </w:t>
      </w:r>
      <w:r w:rsidR="00A20E43" w:rsidRPr="00A20E43">
        <w:rPr>
          <w:i/>
          <w:sz w:val="30"/>
          <w:szCs w:val="30"/>
        </w:rPr>
        <w:t xml:space="preserve">На 2022 год запланировано заменить 74,5 км сетей водоснабжения </w:t>
      </w:r>
      <w:r w:rsidR="00A20E43">
        <w:rPr>
          <w:i/>
          <w:sz w:val="30"/>
          <w:szCs w:val="30"/>
        </w:rPr>
        <w:t xml:space="preserve">и </w:t>
      </w:r>
      <w:r w:rsidR="00A20E43" w:rsidRPr="00A20E43">
        <w:rPr>
          <w:i/>
          <w:sz w:val="30"/>
          <w:szCs w:val="30"/>
        </w:rPr>
        <w:t>11,9 км сетей водоотведеиня (канализации) со сверхнормативными сроками эксплуатации. По состоянию на 1 сентября 2022 года заменено 65,9 км водопроводных (147,4 процента к плану на январь-сентябрь 2022г.) и 7,2 км канализационных (100,8 процента к плану на январь-сентябрь 2022 г.) сетей.</w:t>
      </w:r>
    </w:p>
    <w:p w:rsidR="00A20E43" w:rsidRPr="00A20E43" w:rsidRDefault="007C60ED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9. </w:t>
      </w:r>
      <w:r w:rsidR="00A20E43" w:rsidRPr="00A20E43">
        <w:rPr>
          <w:i/>
          <w:sz w:val="30"/>
          <w:szCs w:val="30"/>
        </w:rPr>
        <w:t xml:space="preserve">Для выполнения поручения Главы государства по обеспечению потребителей качественной питьевой водой до 2025 года необходимо построить еще 85 станций обезжелезивания, 159 мини-станций обезжелезивания и переподключить 19 населенных пунктов области к системам водоснабжения с водой нормативного качества с общий стоимостью более 24 млн. рублей.   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lastRenderedPageBreak/>
        <w:t xml:space="preserve">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7C60ED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10.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630D33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E530AB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11. </w:t>
      </w:r>
      <w:r w:rsidR="00F86452"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="00F86452"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="00F86452"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="00F86452"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</w:t>
      </w:r>
      <w:r w:rsidRPr="00B76355">
        <w:rPr>
          <w:bCs/>
          <w:i/>
          <w:iCs/>
          <w:spacing w:val="-2"/>
          <w:sz w:val="28"/>
          <w:szCs w:val="28"/>
        </w:rPr>
        <w:lastRenderedPageBreak/>
        <w:t>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AA1558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12. </w:t>
      </w:r>
      <w:r w:rsidR="00C22CAA"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 xml:space="preserve">(пеллеты – </w:t>
      </w:r>
      <w:r w:rsidR="00EE330C" w:rsidRPr="00B76355">
        <w:rPr>
          <w:rFonts w:eastAsia="Courier New"/>
          <w:i/>
          <w:sz w:val="28"/>
          <w:szCs w:val="28"/>
        </w:rPr>
        <w:lastRenderedPageBreak/>
        <w:t>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4F0E96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13. </w:t>
      </w:r>
      <w:r w:rsidR="00163A98"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="00163A98"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="00163A98"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="00163A98"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="00163A98"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="00163A98" w:rsidRPr="00B76355">
        <w:rPr>
          <w:rFonts w:eastAsia="Courier New"/>
          <w:i/>
          <w:sz w:val="28"/>
          <w:szCs w:val="28"/>
        </w:rPr>
        <w:t>около 50 лет)</w:t>
      </w:r>
      <w:r w:rsidR="00163A98"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Витебской области в</w:t>
      </w:r>
      <w:r w:rsidRPr="00C13288">
        <w:rPr>
          <w:i/>
          <w:sz w:val="30"/>
          <w:szCs w:val="30"/>
        </w:rPr>
        <w:t xml:space="preserve"> период 2019 – 2022 г</w:t>
      </w:r>
      <w:r>
        <w:rPr>
          <w:i/>
          <w:sz w:val="30"/>
          <w:szCs w:val="30"/>
        </w:rPr>
        <w:t>.</w:t>
      </w:r>
      <w:r w:rsidRPr="00C13288">
        <w:rPr>
          <w:i/>
          <w:sz w:val="30"/>
          <w:szCs w:val="30"/>
        </w:rPr>
        <w:t xml:space="preserve"> произведена замена 234 км тепловых сетей или 14,4 процента от их общей протяженности (1 620 км), что позволило увеличить долю тепловых сетей, выполненных в ПИ-трубе, в рассматриваемом периоде с 68,1 процента до 82,5 процента, а также снизить потери те</w:t>
      </w:r>
      <w:r w:rsidR="004F0E96">
        <w:rPr>
          <w:i/>
          <w:sz w:val="30"/>
          <w:szCs w:val="30"/>
        </w:rPr>
        <w:t>п</w:t>
      </w:r>
      <w:r w:rsidRPr="00C13288">
        <w:rPr>
          <w:i/>
          <w:sz w:val="30"/>
          <w:szCs w:val="30"/>
        </w:rPr>
        <w:t xml:space="preserve">ловой энергии собственного </w:t>
      </w:r>
      <w:r w:rsidR="00C07A09" w:rsidRPr="00C13288">
        <w:rPr>
          <w:i/>
          <w:sz w:val="30"/>
          <w:szCs w:val="30"/>
        </w:rPr>
        <w:t>производства</w:t>
      </w:r>
      <w:r w:rsidRPr="00C13288">
        <w:rPr>
          <w:i/>
          <w:sz w:val="30"/>
          <w:szCs w:val="30"/>
        </w:rPr>
        <w:t xml:space="preserve"> при ее транспортировке с 11 процентов в 2018 году до 9,8 процента в 2022 году.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 xml:space="preserve">По состоянию на 22 сентября 2022 г. заменено 46,1 км тепловых сетей или 2,8 процента от их общей протяженности.   </w:t>
      </w:r>
    </w:p>
    <w:p w:rsidR="004A690D" w:rsidRPr="00B76355" w:rsidRDefault="00D1067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14. </w:t>
      </w:r>
      <w:r w:rsidR="004A690D"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="004A690D"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="004A690D"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="004A690D"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="004A690D"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="004A690D" w:rsidRPr="00B76355">
        <w:rPr>
          <w:bCs/>
          <w:sz w:val="30"/>
          <w:szCs w:val="30"/>
        </w:rPr>
        <w:t>.</w:t>
      </w: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lastRenderedPageBreak/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FE1027">
        <w:rPr>
          <w:bCs/>
          <w:i/>
          <w:sz w:val="28"/>
          <w:szCs w:val="28"/>
        </w:rPr>
        <w:t xml:space="preserve">В Беларуси на 1 </w:t>
      </w:r>
      <w:r w:rsidR="003D4990" w:rsidRPr="00FE1027">
        <w:rPr>
          <w:bCs/>
          <w:i/>
          <w:sz w:val="28"/>
          <w:szCs w:val="28"/>
        </w:rPr>
        <w:t>июня</w:t>
      </w:r>
      <w:r w:rsidRPr="00FE1027">
        <w:rPr>
          <w:bCs/>
          <w:i/>
          <w:sz w:val="28"/>
          <w:szCs w:val="28"/>
        </w:rPr>
        <w:t xml:space="preserve"> 2022 г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</w:t>
      </w:r>
      <w:r w:rsidR="003D4990" w:rsidRPr="00FE1027">
        <w:rPr>
          <w:bCs/>
          <w:i/>
          <w:sz w:val="28"/>
          <w:szCs w:val="28"/>
        </w:rPr>
        <w:t>около 31</w:t>
      </w:r>
      <w:r w:rsidRPr="00FE1027">
        <w:rPr>
          <w:bCs/>
          <w:i/>
          <w:sz w:val="28"/>
          <w:szCs w:val="28"/>
        </w:rPr>
        <w:t xml:space="preserve"> тыс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DA617C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15. </w:t>
      </w:r>
      <w:r w:rsidR="008C04E5"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="008C04E5"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630D33">
      <w:pPr>
        <w:widowControl w:val="0"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630D33">
      <w:pPr>
        <w:widowControl w:val="0"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F5270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СЛ. № 16. </w:t>
      </w:r>
      <w:r w:rsidR="000020DF"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Витебской области </w:t>
      </w:r>
      <w:r w:rsidR="00C13288">
        <w:rPr>
          <w:i/>
          <w:sz w:val="30"/>
          <w:szCs w:val="30"/>
        </w:rPr>
        <w:t>п</w:t>
      </w:r>
      <w:r w:rsidRPr="00205663">
        <w:rPr>
          <w:i/>
          <w:sz w:val="30"/>
          <w:szCs w:val="30"/>
        </w:rPr>
        <w:t xml:space="preserve">роводится работа по закрытию мусоропроводов в многоэтажных жилых домах и созданию площадок для раздельного сбора ТКО. Всего по состоянию на 1 октября 2022 г. по Витебской области мусоропроводы закрыты в 26 жилых домах (72 % от запланированного на 2022 год). 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Охват населения раздельным сбором отходов увеличился по сравнению с прошлым годом на 1 процентный пункт и составляет             87 процентов, охват частного сектора контейнерным сбором отходов составляет 41,3 процента.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Всего по состоянию на 1 октября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 xml:space="preserve">. в области установлено     39,5 тыс.контейнеров для раздельного сбора отходов в секторе многоквартирной застройки. Сектору индивидуальной жилой застройки </w:t>
      </w:r>
      <w:r w:rsidRPr="00205663">
        <w:rPr>
          <w:i/>
          <w:sz w:val="30"/>
          <w:szCs w:val="30"/>
        </w:rPr>
        <w:lastRenderedPageBreak/>
        <w:t>передано 62,4 тыс. контейнеров емкостью 120 (240) литров для сбора ТКО и ВМР.</w:t>
      </w:r>
    </w:p>
    <w:p w:rsidR="00702D83" w:rsidRPr="0035683C" w:rsidRDefault="00A54037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17. 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 w:rsidR="00702D83"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</w:t>
      </w:r>
      <w:r w:rsidR="00702D83">
        <w:rPr>
          <w:rFonts w:eastAsia="Courier New"/>
          <w:color w:val="000000"/>
          <w:sz w:val="30"/>
          <w:szCs w:val="30"/>
        </w:rPr>
        <w:t>по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 w:rsidR="00702D83">
        <w:rPr>
          <w:rFonts w:eastAsia="Courier New"/>
          <w:color w:val="000000"/>
          <w:sz w:val="30"/>
          <w:szCs w:val="30"/>
        </w:rPr>
        <w:t>ю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системы обращения с </w:t>
      </w:r>
      <w:r w:rsidR="00702D83">
        <w:rPr>
          <w:rFonts w:eastAsia="Courier New"/>
          <w:color w:val="000000"/>
          <w:sz w:val="30"/>
          <w:szCs w:val="30"/>
        </w:rPr>
        <w:t>ТКО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и </w:t>
      </w:r>
      <w:r w:rsidR="00702D83"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рамках мероприятий по созданию региональных объектов по сортировке и использованию ТКО, включая производство пре-RDF-топлива</w:t>
      </w:r>
      <w:r w:rsidR="00630D33">
        <w:rPr>
          <w:i/>
          <w:sz w:val="30"/>
          <w:szCs w:val="30"/>
        </w:rPr>
        <w:t>,</w:t>
      </w:r>
      <w:r w:rsidRPr="00205663">
        <w:rPr>
          <w:i/>
          <w:sz w:val="30"/>
          <w:szCs w:val="30"/>
        </w:rPr>
        <w:t xml:space="preserve"> и полигонов для их захоронения в Витебской области реализуются следующие объекты: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”Новополоцкий региональный комплекс по обращению с ТКО“ (разработана предпроектная документация, ведется разработка строительного проекта, планируемый срок выполнения работ с учетом проведения экспертиз – сентябрь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>.);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”Комплекс по углубленной переработке изношенных шин и резинотехнических изделий с получением резиновой крошки и производством резинотехнических изделий“ (разработана проектная документация, проведены конкурсные процедуры по приобретению технологического оборудования для комплектации объекта, объявлены торги на строительно-монтажные работы);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”Полигон ТБО г.Орша“ (разработана проектно-сметная документация, ведутся строительно-монтажные работы. В текущем году на финансирование объекта предусмотрено 64,9 млн.рублей средств государственного учреждения ”Оператор вторичных материальных ресурсов“ (далее – Оператор) и 1,0 млн. рублей средств областного бюджета). Планируется ввод объекта до конца текущего года. </w:t>
      </w:r>
    </w:p>
    <w:p w:rsidR="0035683C" w:rsidRPr="00B76355" w:rsidRDefault="0035683C" w:rsidP="00C13288">
      <w:pPr>
        <w:widowControl w:val="0"/>
        <w:spacing w:before="120" w:line="280" w:lineRule="exact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lastRenderedPageBreak/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531886" w:rsidP="00B76355">
      <w:pPr>
        <w:spacing w:before="120"/>
        <w:jc w:val="center"/>
        <w:rPr>
          <w:b/>
          <w:spacing w:val="-4"/>
          <w:sz w:val="30"/>
          <w:szCs w:val="30"/>
        </w:rPr>
      </w:pPr>
      <w:r>
        <w:rPr>
          <w:b/>
          <w:spacing w:val="-4"/>
          <w:sz w:val="30"/>
          <w:szCs w:val="30"/>
          <w:lang w:val="en-US"/>
        </w:rPr>
        <w:t>C</w:t>
      </w:r>
      <w:r>
        <w:rPr>
          <w:b/>
          <w:spacing w:val="-4"/>
          <w:sz w:val="30"/>
          <w:szCs w:val="30"/>
        </w:rPr>
        <w:t xml:space="preserve">Л. № 18. </w:t>
      </w:r>
      <w:r w:rsidR="008C04E5"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="008C04E5"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205663">
        <w:rPr>
          <w:bCs/>
          <w:i/>
          <w:sz w:val="28"/>
          <w:szCs w:val="28"/>
        </w:rPr>
        <w:t>За</w:t>
      </w:r>
      <w:r w:rsidR="00ED6D50" w:rsidRPr="00205663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205663">
        <w:rPr>
          <w:bCs/>
          <w:i/>
          <w:sz w:val="28"/>
          <w:szCs w:val="28"/>
        </w:rPr>
        <w:t>.</w:t>
      </w:r>
      <w:r w:rsidR="00ED6D50" w:rsidRPr="00205663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205663">
        <w:rPr>
          <w:bCs/>
          <w:i/>
          <w:sz w:val="28"/>
          <w:szCs w:val="28"/>
        </w:rPr>
        <w:t xml:space="preserve">а также на </w:t>
      </w:r>
      <w:r w:rsidR="00ED6D50" w:rsidRPr="00205663">
        <w:rPr>
          <w:bCs/>
          <w:i/>
          <w:sz w:val="28"/>
          <w:szCs w:val="28"/>
        </w:rPr>
        <w:t>оптимизаци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численности</w:t>
      </w:r>
      <w:r w:rsidR="00430645" w:rsidRPr="00205663">
        <w:rPr>
          <w:bCs/>
          <w:i/>
          <w:sz w:val="28"/>
          <w:szCs w:val="28"/>
        </w:rPr>
        <w:t xml:space="preserve"> штатных сотрудников</w:t>
      </w:r>
      <w:r w:rsidR="00ED6D50" w:rsidRPr="00205663">
        <w:rPr>
          <w:bCs/>
          <w:i/>
          <w:sz w:val="28"/>
          <w:szCs w:val="28"/>
        </w:rPr>
        <w:t>, уменьшени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0C26E6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 № 19. </w:t>
      </w:r>
      <w:r w:rsidR="00ED6D50"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="00ED6D50"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="00ED6D50" w:rsidRPr="00B76355">
        <w:rPr>
          <w:b/>
          <w:bCs/>
          <w:sz w:val="30"/>
          <w:szCs w:val="30"/>
        </w:rPr>
        <w:t>функционирует</w:t>
      </w:r>
      <w:r w:rsidR="00ED6D50" w:rsidRPr="00B76355">
        <w:rPr>
          <w:bCs/>
          <w:sz w:val="30"/>
          <w:szCs w:val="30"/>
        </w:rPr>
        <w:t xml:space="preserve"> </w:t>
      </w:r>
      <w:r w:rsidR="00ED6D50"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="00ED6D50"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="00ED6D50"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="00ED6D50"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="00ED6D50"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выявительного принципа, предусматривающего </w:t>
      </w:r>
      <w:r w:rsidRPr="005177C6">
        <w:rPr>
          <w:bCs/>
          <w:sz w:val="30"/>
          <w:szCs w:val="30"/>
        </w:rPr>
        <w:lastRenderedPageBreak/>
        <w:t>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205663" w:rsidRPr="00205663" w:rsidRDefault="00205663" w:rsidP="00C13288">
      <w:pPr>
        <w:pStyle w:val="ab"/>
        <w:spacing w:after="0" w:line="280" w:lineRule="exact"/>
        <w:ind w:firstLine="709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Витебской области по состоянию на 1</w:t>
      </w:r>
      <w:r w:rsidR="00004A6E">
        <w:rPr>
          <w:i/>
          <w:sz w:val="30"/>
          <w:szCs w:val="30"/>
        </w:rPr>
        <w:t xml:space="preserve"> сентября 2022 г. </w:t>
      </w:r>
      <w:r w:rsidR="00004A6E">
        <w:rPr>
          <w:i/>
          <w:sz w:val="30"/>
          <w:szCs w:val="30"/>
        </w:rPr>
        <w:br/>
      </w:r>
      <w:r w:rsidRPr="00205663">
        <w:rPr>
          <w:i/>
          <w:sz w:val="30"/>
          <w:szCs w:val="30"/>
        </w:rPr>
        <w:t>4134 семьям предоставлены БЖС на сумму 267,9 тыс. рублей, в том числе по выявительному принципу – 4040 семьям на сумму 249,5 тыс. рублей.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433A38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>
        <w:rPr>
          <w:b/>
          <w:spacing w:val="-8"/>
          <w:kern w:val="30"/>
          <w:sz w:val="30"/>
          <w:szCs w:val="30"/>
        </w:rPr>
        <w:t xml:space="preserve">СЛ № 20. </w:t>
      </w:r>
      <w:r w:rsidR="008C04E5"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433A38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21. </w:t>
      </w:r>
      <w:r w:rsidR="00596664" w:rsidRPr="00B76355">
        <w:rPr>
          <w:rFonts w:eastAsia="Courier New"/>
          <w:sz w:val="30"/>
          <w:szCs w:val="30"/>
        </w:rPr>
        <w:t xml:space="preserve">В Беларуси установлен </w:t>
      </w:r>
      <w:r w:rsidR="00596664"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="00596664"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="00596664" w:rsidRPr="00B76355">
        <w:rPr>
          <w:rFonts w:eastAsia="Courier New"/>
          <w:sz w:val="30"/>
          <w:szCs w:val="30"/>
        </w:rPr>
        <w:t xml:space="preserve"> </w:t>
      </w:r>
      <w:r w:rsidR="00596664"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="00596664"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autoSpaceDE w:val="0"/>
        <w:autoSpaceDN w:val="0"/>
        <w:adjustRightInd w:val="0"/>
        <w:spacing w:line="280" w:lineRule="exact"/>
        <w:ind w:firstLine="708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В населенных пунктах проведены работы по устройству (ремонту)                         231 детской игровой площадки, ремонту 153,5 тыс.м.кв. улично-дорожной сети, ремонту 220 контейнерных площадок, установке </w:t>
      </w:r>
      <w:r w:rsidR="00630D33">
        <w:rPr>
          <w:i/>
          <w:sz w:val="30"/>
          <w:szCs w:val="30"/>
        </w:rPr>
        <w:t xml:space="preserve">         </w:t>
      </w:r>
      <w:r w:rsidRPr="00205663">
        <w:rPr>
          <w:i/>
          <w:sz w:val="30"/>
          <w:szCs w:val="30"/>
        </w:rPr>
        <w:t>295 контейнеров для сбора отходов, в том числе 103 контейнера для раздельного сбора отходов.</w:t>
      </w:r>
    </w:p>
    <w:p w:rsidR="00205663" w:rsidRPr="00205663" w:rsidRDefault="00205663" w:rsidP="00C13288">
      <w:pPr>
        <w:spacing w:line="280" w:lineRule="exact"/>
        <w:ind w:firstLine="720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Продолжается работа по озеленению населенных пунктов, включая сельские населенные пункты. Проведены посадки около 29 тыс. деревьев и 13 тыс. кустарников, устроено и отремонтировано </w:t>
      </w:r>
      <w:smartTag w:uri="urn:schemas-microsoft-com:office:smarttags" w:element="metricconverter">
        <w:smartTagPr>
          <w:attr w:name="ProductID" w:val="17,7 га"/>
        </w:smartTagPr>
        <w:r w:rsidRPr="00205663">
          <w:rPr>
            <w:i/>
            <w:sz w:val="30"/>
            <w:szCs w:val="30"/>
          </w:rPr>
          <w:t>17,7 га</w:t>
        </w:r>
      </w:smartTag>
      <w:r w:rsidRPr="00205663">
        <w:rPr>
          <w:i/>
          <w:sz w:val="30"/>
          <w:szCs w:val="30"/>
        </w:rPr>
        <w:t xml:space="preserve"> газонов, отремонтировано 83 шахтных колодца, ликвидировано 40 заброшенных и не подлежащих дальнейшему использованию шахтных колодцев.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433A38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>
        <w:rPr>
          <w:sz w:val="30"/>
          <w:szCs w:val="30"/>
        </w:rPr>
        <w:t xml:space="preserve">СЛ. № 22. </w:t>
      </w:r>
      <w:r w:rsidR="00DD6C3C"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="00DD6C3C"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</w:t>
      </w:r>
      <w:r w:rsidRPr="000C1800">
        <w:rPr>
          <w:b/>
          <w:sz w:val="30"/>
          <w:szCs w:val="30"/>
        </w:rPr>
        <w:lastRenderedPageBreak/>
        <w:t>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C13288">
      <w:pPr>
        <w:widowControl w:val="0"/>
        <w:spacing w:line="280" w:lineRule="exact"/>
        <w:ind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</w:t>
      </w:r>
      <w:r w:rsidRPr="00B76355">
        <w:rPr>
          <w:rFonts w:eastAsia="Courier New"/>
          <w:i/>
          <w:sz w:val="28"/>
          <w:szCs w:val="28"/>
        </w:rPr>
        <w:lastRenderedPageBreak/>
        <w:t xml:space="preserve">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B419F0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>
        <w:rPr>
          <w:b/>
          <w:color w:val="auto"/>
          <w:sz w:val="30"/>
          <w:szCs w:val="30"/>
          <w:lang w:val="en-US"/>
        </w:rPr>
        <w:t>C</w:t>
      </w:r>
      <w:r>
        <w:rPr>
          <w:b/>
          <w:color w:val="auto"/>
          <w:sz w:val="30"/>
          <w:szCs w:val="30"/>
        </w:rPr>
        <w:t xml:space="preserve">Л. № 23. </w:t>
      </w:r>
      <w:r w:rsidR="0068764F" w:rsidRPr="00B76355">
        <w:rPr>
          <w:b/>
          <w:color w:val="auto"/>
          <w:sz w:val="30"/>
          <w:szCs w:val="30"/>
        </w:rPr>
        <w:t>За 2021 год</w:t>
      </w:r>
      <w:r w:rsidR="0068764F"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="0068764F"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="0068764F" w:rsidRPr="00B76355">
        <w:rPr>
          <w:b/>
          <w:color w:val="auto"/>
          <w:sz w:val="30"/>
          <w:szCs w:val="30"/>
        </w:rPr>
        <w:t>70 тыс. обращений граждан</w:t>
      </w:r>
      <w:r w:rsidR="0068764F"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630D33" w:rsidRDefault="00630D33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4C" w:rsidRDefault="00EB774C" w:rsidP="0012441B">
      <w:r>
        <w:separator/>
      </w:r>
    </w:p>
  </w:endnote>
  <w:endnote w:type="continuationSeparator" w:id="0">
    <w:p w:rsidR="00EB774C" w:rsidRDefault="00EB774C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4C" w:rsidRDefault="00EB774C" w:rsidP="0012441B">
      <w:r>
        <w:separator/>
      </w:r>
    </w:p>
  </w:footnote>
  <w:footnote w:type="continuationSeparator" w:id="0">
    <w:p w:rsidR="00EB774C" w:rsidRDefault="00EB774C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9D1C88">
      <w:rPr>
        <w:noProof/>
        <w:sz w:val="30"/>
        <w:szCs w:val="30"/>
      </w:rPr>
      <w:t>14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F"/>
    <w:rsid w:val="00000966"/>
    <w:rsid w:val="000020DF"/>
    <w:rsid w:val="000036E7"/>
    <w:rsid w:val="00003A49"/>
    <w:rsid w:val="00004A6E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8D9"/>
    <w:rsid w:val="00053C56"/>
    <w:rsid w:val="000565AE"/>
    <w:rsid w:val="000611F9"/>
    <w:rsid w:val="0006414F"/>
    <w:rsid w:val="00064ED8"/>
    <w:rsid w:val="000659E8"/>
    <w:rsid w:val="00065DB9"/>
    <w:rsid w:val="00070AC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48D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6426"/>
    <w:rsid w:val="000B7080"/>
    <w:rsid w:val="000B74A7"/>
    <w:rsid w:val="000C1800"/>
    <w:rsid w:val="000C18AE"/>
    <w:rsid w:val="000C26E6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63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3A38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4A6D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A7A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0E96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1886"/>
    <w:rsid w:val="0053265A"/>
    <w:rsid w:val="00532A76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D33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08AC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0ED"/>
    <w:rsid w:val="007C6E7E"/>
    <w:rsid w:val="007D0492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16D5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4438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17AF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1C88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09C"/>
    <w:rsid w:val="00A11AD6"/>
    <w:rsid w:val="00A12543"/>
    <w:rsid w:val="00A126B8"/>
    <w:rsid w:val="00A139F3"/>
    <w:rsid w:val="00A145D1"/>
    <w:rsid w:val="00A17D87"/>
    <w:rsid w:val="00A209C2"/>
    <w:rsid w:val="00A20E43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4037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1558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19F0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A0C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07A09"/>
    <w:rsid w:val="00C120BD"/>
    <w:rsid w:val="00C13288"/>
    <w:rsid w:val="00C202D1"/>
    <w:rsid w:val="00C22CAA"/>
    <w:rsid w:val="00C239D3"/>
    <w:rsid w:val="00C24FE8"/>
    <w:rsid w:val="00C25C33"/>
    <w:rsid w:val="00C269D1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36DCC"/>
    <w:rsid w:val="00C42F3C"/>
    <w:rsid w:val="00C438E4"/>
    <w:rsid w:val="00C4450B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067D"/>
    <w:rsid w:val="00D12EAE"/>
    <w:rsid w:val="00D16680"/>
    <w:rsid w:val="00D173A5"/>
    <w:rsid w:val="00D1798D"/>
    <w:rsid w:val="00D20521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321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17C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30AB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B774C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70E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027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DE1EFD-1772-46F4-9693-03B02B4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newncpi">
    <w:name w:val="newncpi"/>
    <w:basedOn w:val="a"/>
    <w:rsid w:val="0020566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C305-D702-457D-8F61-20D3205C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Teta</cp:lastModifiedBy>
  <cp:revision>2</cp:revision>
  <cp:lastPrinted>2022-10-27T10:04:00Z</cp:lastPrinted>
  <dcterms:created xsi:type="dcterms:W3CDTF">2022-11-14T11:31:00Z</dcterms:created>
  <dcterms:modified xsi:type="dcterms:W3CDTF">2022-11-14T11:31:00Z</dcterms:modified>
</cp:coreProperties>
</file>